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Cat the Catcher</w:t>
      </w:r>
    </w:p>
    <w:p w:rsidR="00000000" w:rsidDel="00000000" w:rsidP="00000000" w:rsidRDefault="00000000" w:rsidRPr="00000000">
      <w:pPr>
        <w:pBdr/>
        <w:contextualSpacing w:val="0"/>
        <w:rPr/>
      </w:pPr>
      <w:r w:rsidDel="00000000" w:rsidR="00000000" w:rsidRPr="00000000">
        <w:rPr>
          <w:rtl w:val="0"/>
        </w:rPr>
        <w:t xml:space="preserve">Are you ready to see how you fare in fun puzzle game Cat the Catcher? If so, why not get started right now? In Cat the Catcher, you need to help the tiny cat access its string ball so they can play with it. However, you are only able to move the string ball, which makes the game more challenging than you might expect, especially when there are more than a ball and cat in a stage and all the balls need to moved in one direction. Though this may seem tough at first, the more experience you gain, the easier it will be to gain victory. Why not start playing Cat the Catcher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